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57A32" w14:paraId="32912770" w14:textId="77777777" w:rsidTr="00157A32">
        <w:tc>
          <w:tcPr>
            <w:tcW w:w="9350" w:type="dxa"/>
          </w:tcPr>
          <w:p w14:paraId="5EDBD542" w14:textId="6A4CB49D" w:rsidR="00157A32" w:rsidRPr="00157A32" w:rsidRDefault="00157A32" w:rsidP="00157A32">
            <w:pPr>
              <w:jc w:val="center"/>
              <w:rPr>
                <w:b/>
                <w:bCs/>
              </w:rPr>
            </w:pPr>
            <w:r w:rsidRPr="00157A32">
              <w:rPr>
                <w:b/>
                <w:bCs/>
                <w:sz w:val="44"/>
                <w:szCs w:val="44"/>
              </w:rPr>
              <w:t>LAPP Bulletin</w:t>
            </w:r>
          </w:p>
        </w:tc>
      </w:tr>
      <w:tr w:rsidR="00157A32" w14:paraId="4D8915B2" w14:textId="77777777" w:rsidTr="00157A32">
        <w:tc>
          <w:tcPr>
            <w:tcW w:w="9350" w:type="dxa"/>
          </w:tcPr>
          <w:p w14:paraId="05A2B1BB" w14:textId="1D99CACC" w:rsidR="00157A32" w:rsidRDefault="00157A32" w:rsidP="00157A32">
            <w:r w:rsidRPr="00157A32">
              <w:rPr>
                <w:b/>
                <w:bCs/>
              </w:rPr>
              <w:t>Date</w:t>
            </w:r>
            <w:r>
              <w:t xml:space="preserve">: </w:t>
            </w:r>
            <w:r w:rsidR="008F79A4">
              <w:rPr>
                <w:sz w:val="24"/>
                <w:szCs w:val="24"/>
              </w:rPr>
              <w:t>February 9</w:t>
            </w:r>
            <w:r w:rsidRPr="00A65E30">
              <w:rPr>
                <w:sz w:val="24"/>
                <w:szCs w:val="24"/>
              </w:rPr>
              <w:t>, 202</w:t>
            </w:r>
            <w:r w:rsidR="008F79A4">
              <w:rPr>
                <w:sz w:val="24"/>
                <w:szCs w:val="24"/>
              </w:rPr>
              <w:t>3</w:t>
            </w:r>
          </w:p>
        </w:tc>
      </w:tr>
      <w:tr w:rsidR="00157A32" w14:paraId="15997C03" w14:textId="77777777" w:rsidTr="00157A32">
        <w:tc>
          <w:tcPr>
            <w:tcW w:w="9350" w:type="dxa"/>
          </w:tcPr>
          <w:p w14:paraId="1F122170" w14:textId="3005AA95" w:rsidR="00157A32" w:rsidRDefault="00157A32" w:rsidP="00157A32">
            <w:r w:rsidRPr="00157A32">
              <w:rPr>
                <w:b/>
                <w:bCs/>
              </w:rPr>
              <w:t>Subject</w:t>
            </w:r>
            <w:r>
              <w:t xml:space="preserve">: </w:t>
            </w:r>
            <w:r w:rsidR="00531E9C">
              <w:rPr>
                <w:b/>
                <w:bCs/>
                <w:i/>
                <w:iCs/>
                <w:sz w:val="32"/>
                <w:szCs w:val="32"/>
                <w:u w:val="single"/>
              </w:rPr>
              <w:t xml:space="preserve">PA </w:t>
            </w:r>
            <w:r w:rsidR="008F79A4">
              <w:rPr>
                <w:b/>
                <w:bCs/>
                <w:i/>
                <w:iCs/>
                <w:sz w:val="32"/>
                <w:szCs w:val="32"/>
                <w:u w:val="single"/>
              </w:rPr>
              <w:t>Public School Funding Court Case</w:t>
            </w:r>
          </w:p>
        </w:tc>
      </w:tr>
      <w:tr w:rsidR="00157A32" w14:paraId="309268B2" w14:textId="77777777" w:rsidTr="00F242E4">
        <w:trPr>
          <w:trHeight w:val="8648"/>
        </w:trPr>
        <w:tc>
          <w:tcPr>
            <w:tcW w:w="9350" w:type="dxa"/>
          </w:tcPr>
          <w:p w14:paraId="4BDAC275" w14:textId="77777777" w:rsidR="00343CD9" w:rsidRPr="008F79A4" w:rsidRDefault="00343CD9" w:rsidP="003C002E">
            <w:pPr>
              <w:rPr>
                <w:rFonts w:cstheme="minorHAnsi"/>
                <w:b/>
                <w:bCs/>
                <w:sz w:val="28"/>
                <w:szCs w:val="28"/>
              </w:rPr>
            </w:pPr>
            <w:r w:rsidRPr="008F79A4">
              <w:rPr>
                <w:rFonts w:cstheme="minorHAnsi"/>
                <w:b/>
                <w:bCs/>
                <w:sz w:val="28"/>
                <w:szCs w:val="28"/>
              </w:rPr>
              <w:t>Context:</w:t>
            </w:r>
          </w:p>
          <w:p w14:paraId="636BCE96" w14:textId="4AA3E131" w:rsidR="00343CD9" w:rsidRPr="008F79A4" w:rsidRDefault="00343CD9" w:rsidP="003C002E">
            <w:pPr>
              <w:rPr>
                <w:rFonts w:cstheme="minorHAnsi"/>
                <w:sz w:val="24"/>
                <w:szCs w:val="24"/>
              </w:rPr>
            </w:pPr>
            <w:r w:rsidRPr="008F79A4">
              <w:rPr>
                <w:rFonts w:cstheme="minorHAnsi"/>
                <w:sz w:val="24"/>
                <w:szCs w:val="24"/>
              </w:rPr>
              <w:t xml:space="preserve">Education is a Public Policy Priority of the Pennsylvania branch of AAUW with the objective of supporting a quality system of public education.  </w:t>
            </w:r>
            <w:r w:rsidR="008F79A4" w:rsidRPr="008F79A4">
              <w:rPr>
                <w:rFonts w:cstheme="minorHAnsi"/>
                <w:sz w:val="24"/>
                <w:szCs w:val="24"/>
              </w:rPr>
              <w:t>On February 7, the PA Commonwealth Court ruled that the state’s current school funding system is unconstitutional.</w:t>
            </w:r>
            <w:r w:rsidRPr="008F79A4">
              <w:rPr>
                <w:rFonts w:cstheme="minorHAnsi"/>
                <w:sz w:val="24"/>
                <w:szCs w:val="24"/>
              </w:rPr>
              <w:t xml:space="preserve"> </w:t>
            </w:r>
          </w:p>
          <w:p w14:paraId="3DDF0558" w14:textId="77777777" w:rsidR="00343CD9" w:rsidRPr="008F79A4" w:rsidRDefault="00343CD9" w:rsidP="003C002E">
            <w:pPr>
              <w:rPr>
                <w:rFonts w:cstheme="minorHAnsi"/>
                <w:b/>
                <w:bCs/>
                <w:sz w:val="28"/>
                <w:szCs w:val="28"/>
              </w:rPr>
            </w:pPr>
          </w:p>
          <w:p w14:paraId="71E254D5" w14:textId="6F23FD3E" w:rsidR="003C002E" w:rsidRPr="008F79A4" w:rsidRDefault="00157A32" w:rsidP="003C002E">
            <w:pPr>
              <w:rPr>
                <w:rFonts w:cstheme="minorHAnsi"/>
                <w:sz w:val="24"/>
                <w:szCs w:val="24"/>
              </w:rPr>
            </w:pPr>
            <w:r w:rsidRPr="008F79A4">
              <w:rPr>
                <w:rFonts w:cstheme="minorHAnsi"/>
                <w:b/>
                <w:bCs/>
                <w:sz w:val="28"/>
                <w:szCs w:val="28"/>
              </w:rPr>
              <w:t>Summary</w:t>
            </w:r>
            <w:r w:rsidRPr="008F79A4">
              <w:rPr>
                <w:rFonts w:cstheme="minorHAnsi"/>
                <w:sz w:val="24"/>
                <w:szCs w:val="24"/>
              </w:rPr>
              <w:t xml:space="preserve"> </w:t>
            </w:r>
          </w:p>
          <w:p w14:paraId="5874D3D7" w14:textId="4E222331" w:rsidR="008F79A4" w:rsidRPr="008F79A4" w:rsidRDefault="008F79A4" w:rsidP="008F79A4">
            <w:pPr>
              <w:rPr>
                <w:rFonts w:cstheme="minorHAnsi"/>
              </w:rPr>
            </w:pPr>
            <w:r w:rsidRPr="008F79A4">
              <w:rPr>
                <w:rFonts w:cstheme="minorHAnsi"/>
              </w:rPr>
              <w:t xml:space="preserve">This ruling is a </w:t>
            </w:r>
            <w:r w:rsidR="004633FF">
              <w:rPr>
                <w:rFonts w:cstheme="minorHAnsi"/>
              </w:rPr>
              <w:t xml:space="preserve">huge </w:t>
            </w:r>
            <w:r w:rsidRPr="008F79A4">
              <w:rPr>
                <w:rFonts w:cstheme="minorHAnsi"/>
              </w:rPr>
              <w:t>win for students across the Commonwealth.</w:t>
            </w:r>
          </w:p>
          <w:p w14:paraId="4ADC15FE" w14:textId="77777777" w:rsidR="008F79A4" w:rsidRPr="008F79A4" w:rsidRDefault="008F79A4" w:rsidP="008F79A4">
            <w:pPr>
              <w:rPr>
                <w:rFonts w:cstheme="minorHAnsi"/>
              </w:rPr>
            </w:pPr>
          </w:p>
          <w:p w14:paraId="0B67E9B6" w14:textId="35F02EFA" w:rsidR="004057AF" w:rsidRPr="008F79A4" w:rsidRDefault="008F79A4" w:rsidP="008F79A4">
            <w:pPr>
              <w:rPr>
                <w:rFonts w:cstheme="minorHAnsi"/>
              </w:rPr>
            </w:pPr>
            <w:r w:rsidRPr="008F79A4">
              <w:rPr>
                <w:rFonts w:cstheme="minorHAnsi"/>
              </w:rPr>
              <w:t xml:space="preserve">The case was first filed in 2014 and went to trial in November of 2021. Pennsylvania's current school funding system </w:t>
            </w:r>
            <w:r w:rsidRPr="008F79A4">
              <w:rPr>
                <w:rFonts w:cstheme="minorHAnsi"/>
              </w:rPr>
              <w:t xml:space="preserve">(in which the majority of funding is provided through property taxes) </w:t>
            </w:r>
            <w:r w:rsidRPr="008F79A4">
              <w:rPr>
                <w:rFonts w:cstheme="minorHAnsi"/>
              </w:rPr>
              <w:t>denies students in low wealth and low</w:t>
            </w:r>
            <w:r w:rsidRPr="008F79A4">
              <w:rPr>
                <w:rFonts w:cstheme="minorHAnsi"/>
              </w:rPr>
              <w:t>-</w:t>
            </w:r>
            <w:r w:rsidRPr="008F79A4">
              <w:rPr>
                <w:rFonts w:cstheme="minorHAnsi"/>
              </w:rPr>
              <w:t>income school districts the quality public education that they deserve and that is guaranteed by the Pennsylvania constitution.</w:t>
            </w:r>
          </w:p>
          <w:p w14:paraId="319277DB" w14:textId="5B0CE26D" w:rsidR="008F79A4" w:rsidRPr="008F79A4" w:rsidRDefault="008F79A4" w:rsidP="008F79A4">
            <w:pPr>
              <w:rPr>
                <w:rFonts w:cstheme="minorHAnsi"/>
              </w:rPr>
            </w:pPr>
          </w:p>
          <w:p w14:paraId="18574F95" w14:textId="0F18157B" w:rsidR="008F79A4" w:rsidRPr="008F79A4" w:rsidRDefault="008F79A4" w:rsidP="008F79A4">
            <w:pPr>
              <w:rPr>
                <w:rFonts w:cstheme="minorHAnsi"/>
              </w:rPr>
            </w:pPr>
            <w:r w:rsidRPr="008F79A4">
              <w:rPr>
                <w:rFonts w:cstheme="minorHAnsi"/>
              </w:rPr>
              <w:t>It will be up to the Legislature and Governor to devise a new more equitable funding system that provides ALL students with the resources they need.</w:t>
            </w:r>
          </w:p>
          <w:p w14:paraId="265C5D12" w14:textId="74ECC4DA" w:rsidR="008F79A4" w:rsidRPr="008F79A4" w:rsidRDefault="008F79A4" w:rsidP="008F79A4">
            <w:pPr>
              <w:rPr>
                <w:rFonts w:cstheme="minorHAnsi"/>
                <w:sz w:val="24"/>
                <w:szCs w:val="24"/>
              </w:rPr>
            </w:pPr>
          </w:p>
          <w:p w14:paraId="3A48E7B7" w14:textId="7EDDF853" w:rsidR="008F79A4" w:rsidRPr="008F79A4" w:rsidRDefault="008F79A4" w:rsidP="008F79A4">
            <w:pPr>
              <w:rPr>
                <w:rFonts w:cstheme="minorHAnsi"/>
                <w:sz w:val="24"/>
                <w:szCs w:val="24"/>
              </w:rPr>
            </w:pPr>
            <w:r w:rsidRPr="008F79A4">
              <w:rPr>
                <w:rFonts w:cstheme="minorHAnsi"/>
                <w:sz w:val="24"/>
                <w:szCs w:val="24"/>
              </w:rPr>
              <w:t>Here is the key language of the ruling:</w:t>
            </w:r>
          </w:p>
          <w:p w14:paraId="081AE22D" w14:textId="29FCD67E" w:rsidR="008F79A4" w:rsidRPr="008F79A4" w:rsidRDefault="008F79A4" w:rsidP="008F79A4">
            <w:pPr>
              <w:pStyle w:val="NormalWeb"/>
              <w:rPr>
                <w:rFonts w:asciiTheme="minorHAnsi" w:hAnsiTheme="minorHAnsi" w:cstheme="minorHAnsi"/>
              </w:rPr>
            </w:pPr>
            <w:r w:rsidRPr="008F79A4">
              <w:rPr>
                <w:rStyle w:val="Emphasis"/>
                <w:rFonts w:asciiTheme="minorHAnsi" w:hAnsiTheme="minorHAnsi" w:cstheme="minorHAnsi"/>
              </w:rPr>
              <w:t xml:space="preserve">NOW, February 7, 2023, following trial in this matter, Petitioners’ Petition for Review is GRANTED. The Court DECLARES as follows: </w:t>
            </w:r>
          </w:p>
          <w:p w14:paraId="0A639D36" w14:textId="77777777" w:rsidR="008F79A4" w:rsidRPr="008F79A4" w:rsidRDefault="008F79A4" w:rsidP="008F79A4">
            <w:pPr>
              <w:pStyle w:val="NormalWeb"/>
              <w:rPr>
                <w:rFonts w:asciiTheme="minorHAnsi" w:hAnsiTheme="minorHAnsi" w:cstheme="minorHAnsi"/>
              </w:rPr>
            </w:pPr>
            <w:r w:rsidRPr="008F79A4">
              <w:rPr>
                <w:rStyle w:val="Emphasis"/>
                <w:rFonts w:asciiTheme="minorHAnsi" w:hAnsiTheme="minorHAnsi" w:cstheme="minorHAnsi"/>
              </w:rPr>
              <w:t xml:space="preserve">1. The Education Clause, article III, section 14 of the Pennsylvania Constitution, requires that every student receive a meaningful opportunity to succeed academically, socially, and civically, which requires that </w:t>
            </w:r>
            <w:r w:rsidRPr="008F79A4">
              <w:rPr>
                <w:rStyle w:val="Emphasis"/>
                <w:rFonts w:asciiTheme="minorHAnsi" w:hAnsiTheme="minorHAnsi" w:cstheme="minorHAnsi"/>
                <w:highlight w:val="yellow"/>
              </w:rPr>
              <w:t>all students have access to a comprehensive, effective, and contemporary system of public education</w:t>
            </w:r>
            <w:r w:rsidRPr="008F79A4">
              <w:rPr>
                <w:rStyle w:val="Emphasis"/>
                <w:rFonts w:asciiTheme="minorHAnsi" w:hAnsiTheme="minorHAnsi" w:cstheme="minorHAnsi"/>
              </w:rPr>
              <w:t xml:space="preserve">; </w:t>
            </w:r>
          </w:p>
          <w:p w14:paraId="2A92D152" w14:textId="77777777" w:rsidR="008F79A4" w:rsidRPr="008F79A4" w:rsidRDefault="008F79A4" w:rsidP="008F79A4">
            <w:pPr>
              <w:pStyle w:val="NormalWeb"/>
              <w:rPr>
                <w:rFonts w:asciiTheme="minorHAnsi" w:hAnsiTheme="minorHAnsi" w:cstheme="minorHAnsi"/>
              </w:rPr>
            </w:pPr>
            <w:r w:rsidRPr="008F79A4">
              <w:rPr>
                <w:rStyle w:val="Emphasis"/>
                <w:rFonts w:asciiTheme="minorHAnsi" w:hAnsiTheme="minorHAnsi" w:cstheme="minorHAnsi"/>
              </w:rPr>
              <w:t xml:space="preserve">2. Respondents have </w:t>
            </w:r>
            <w:r w:rsidRPr="004633FF">
              <w:rPr>
                <w:rStyle w:val="Emphasis"/>
                <w:rFonts w:asciiTheme="minorHAnsi" w:hAnsiTheme="minorHAnsi" w:cstheme="minorHAnsi"/>
                <w:highlight w:val="yellow"/>
              </w:rPr>
              <w:t>not fulfilled their obligations to all children</w:t>
            </w:r>
            <w:r w:rsidRPr="008F79A4">
              <w:rPr>
                <w:rStyle w:val="Emphasis"/>
                <w:rFonts w:asciiTheme="minorHAnsi" w:hAnsiTheme="minorHAnsi" w:cstheme="minorHAnsi"/>
              </w:rPr>
              <w:t xml:space="preserve"> under the Education Clause in violation of the rights of Petitioners; </w:t>
            </w:r>
          </w:p>
          <w:p w14:paraId="5D75132D" w14:textId="77777777" w:rsidR="008F79A4" w:rsidRPr="008F79A4" w:rsidRDefault="008F79A4" w:rsidP="008F79A4">
            <w:pPr>
              <w:pStyle w:val="NormalWeb"/>
              <w:rPr>
                <w:rFonts w:asciiTheme="minorHAnsi" w:hAnsiTheme="minorHAnsi" w:cstheme="minorHAnsi"/>
              </w:rPr>
            </w:pPr>
            <w:r w:rsidRPr="008F79A4">
              <w:rPr>
                <w:rStyle w:val="Emphasis"/>
                <w:rFonts w:asciiTheme="minorHAnsi" w:hAnsiTheme="minorHAnsi" w:cstheme="minorHAnsi"/>
              </w:rPr>
              <w:t xml:space="preserve">3. </w:t>
            </w:r>
            <w:r w:rsidRPr="004633FF">
              <w:rPr>
                <w:rStyle w:val="Emphasis"/>
                <w:rFonts w:asciiTheme="minorHAnsi" w:hAnsiTheme="minorHAnsi" w:cstheme="minorHAnsi"/>
                <w:highlight w:val="yellow"/>
              </w:rPr>
              <w:t>Education is a fundamental right</w:t>
            </w:r>
            <w:r w:rsidRPr="008F79A4">
              <w:rPr>
                <w:rStyle w:val="Emphasis"/>
                <w:rFonts w:asciiTheme="minorHAnsi" w:hAnsiTheme="minorHAnsi" w:cstheme="minorHAnsi"/>
              </w:rPr>
              <w:t xml:space="preserve"> guaranteed by the Pennsylvania Constitution to all school-age children residing in the Commonwealth; </w:t>
            </w:r>
          </w:p>
          <w:p w14:paraId="6F6D7DC3" w14:textId="77777777" w:rsidR="008F79A4" w:rsidRPr="008F79A4" w:rsidRDefault="008F79A4" w:rsidP="008F79A4">
            <w:pPr>
              <w:pStyle w:val="NormalWeb"/>
              <w:rPr>
                <w:rFonts w:asciiTheme="minorHAnsi" w:hAnsiTheme="minorHAnsi" w:cstheme="minorHAnsi"/>
              </w:rPr>
            </w:pPr>
            <w:r w:rsidRPr="008F79A4">
              <w:rPr>
                <w:rStyle w:val="Emphasis"/>
                <w:rFonts w:asciiTheme="minorHAnsi" w:hAnsiTheme="minorHAnsi" w:cstheme="minorHAnsi"/>
              </w:rPr>
              <w:t xml:space="preserve">4. Article III, section 32 of the Pennsylvania Constitution imposes upon Respondents an </w:t>
            </w:r>
            <w:r w:rsidRPr="004633FF">
              <w:rPr>
                <w:rStyle w:val="Emphasis"/>
                <w:rFonts w:asciiTheme="minorHAnsi" w:hAnsiTheme="minorHAnsi" w:cstheme="minorHAnsi"/>
                <w:highlight w:val="yellow"/>
              </w:rPr>
              <w:t>obligation to provide a system of public education that does not discriminate against students based on the level of income and value of taxable property in their school districts</w:t>
            </w:r>
            <w:r w:rsidRPr="008F79A4">
              <w:rPr>
                <w:rStyle w:val="Emphasis"/>
                <w:rFonts w:asciiTheme="minorHAnsi" w:hAnsiTheme="minorHAnsi" w:cstheme="minorHAnsi"/>
              </w:rPr>
              <w:t xml:space="preserve">; </w:t>
            </w:r>
          </w:p>
          <w:p w14:paraId="567E8891" w14:textId="77777777" w:rsidR="008F79A4" w:rsidRPr="008F79A4" w:rsidRDefault="008F79A4" w:rsidP="008F79A4">
            <w:pPr>
              <w:pStyle w:val="NormalWeb"/>
              <w:rPr>
                <w:rFonts w:asciiTheme="minorHAnsi" w:hAnsiTheme="minorHAnsi" w:cstheme="minorHAnsi"/>
              </w:rPr>
            </w:pPr>
            <w:r w:rsidRPr="008F79A4">
              <w:rPr>
                <w:rStyle w:val="Emphasis"/>
                <w:rFonts w:asciiTheme="minorHAnsi" w:hAnsiTheme="minorHAnsi" w:cstheme="minorHAnsi"/>
              </w:rPr>
              <w:t xml:space="preserve">5. </w:t>
            </w:r>
            <w:r w:rsidRPr="004633FF">
              <w:rPr>
                <w:rStyle w:val="Emphasis"/>
                <w:rFonts w:asciiTheme="minorHAnsi" w:hAnsiTheme="minorHAnsi" w:cstheme="minorHAnsi"/>
                <w:highlight w:val="yellow"/>
              </w:rPr>
              <w:t>Students who reside in school districts with low property values and incomes are deprived of the same opportunities and resources as students who reside in school districts with high property values and incomes</w:t>
            </w:r>
            <w:r w:rsidRPr="008F79A4">
              <w:rPr>
                <w:rStyle w:val="Emphasis"/>
                <w:rFonts w:asciiTheme="minorHAnsi" w:hAnsiTheme="minorHAnsi" w:cstheme="minorHAnsi"/>
              </w:rPr>
              <w:t xml:space="preserve">; </w:t>
            </w:r>
          </w:p>
          <w:p w14:paraId="3A1E679B" w14:textId="77777777" w:rsidR="004633FF" w:rsidRDefault="008F79A4" w:rsidP="008F79A4">
            <w:pPr>
              <w:pStyle w:val="NormalWeb"/>
              <w:rPr>
                <w:rStyle w:val="Emphasis"/>
                <w:rFonts w:asciiTheme="minorHAnsi" w:hAnsiTheme="minorHAnsi" w:cstheme="minorHAnsi"/>
              </w:rPr>
            </w:pPr>
            <w:r w:rsidRPr="008F79A4">
              <w:rPr>
                <w:rStyle w:val="Emphasis"/>
                <w:rFonts w:asciiTheme="minorHAnsi" w:hAnsiTheme="minorHAnsi" w:cstheme="minorHAnsi"/>
              </w:rPr>
              <w:lastRenderedPageBreak/>
              <w:t xml:space="preserve">6. The </w:t>
            </w:r>
            <w:r w:rsidRPr="004633FF">
              <w:rPr>
                <w:rStyle w:val="Emphasis"/>
                <w:rFonts w:asciiTheme="minorHAnsi" w:hAnsiTheme="minorHAnsi" w:cstheme="minorHAnsi"/>
                <w:highlight w:val="yellow"/>
              </w:rPr>
              <w:t>disparity among school districts with high property values and incomes and school districts with low property values and incomes is not justified by any compelling government interest nor is it rationally related to any legitimate government objective;</w:t>
            </w:r>
            <w:r w:rsidRPr="008F79A4">
              <w:rPr>
                <w:rStyle w:val="Emphasis"/>
                <w:rFonts w:asciiTheme="minorHAnsi" w:hAnsiTheme="minorHAnsi" w:cstheme="minorHAnsi"/>
              </w:rPr>
              <w:t xml:space="preserve"> and </w:t>
            </w:r>
          </w:p>
          <w:p w14:paraId="4F49FDB7" w14:textId="3B797123" w:rsidR="008F79A4" w:rsidRPr="008F79A4" w:rsidRDefault="008F79A4" w:rsidP="008F79A4">
            <w:pPr>
              <w:pStyle w:val="NormalWeb"/>
              <w:rPr>
                <w:rFonts w:asciiTheme="minorHAnsi" w:hAnsiTheme="minorHAnsi" w:cstheme="minorHAnsi"/>
              </w:rPr>
            </w:pPr>
            <w:r w:rsidRPr="008F79A4">
              <w:rPr>
                <w:rStyle w:val="Emphasis"/>
                <w:rFonts w:asciiTheme="minorHAnsi" w:hAnsiTheme="minorHAnsi" w:cstheme="minorHAnsi"/>
              </w:rPr>
              <w:t xml:space="preserve">7. As a result of these disparities, Petitioners and </w:t>
            </w:r>
            <w:r w:rsidRPr="004633FF">
              <w:rPr>
                <w:rStyle w:val="Emphasis"/>
                <w:rFonts w:asciiTheme="minorHAnsi" w:hAnsiTheme="minorHAnsi" w:cstheme="minorHAnsi"/>
                <w:highlight w:val="yellow"/>
              </w:rPr>
              <w:t>students attending low wealth districts are being deprived of equal protection of law</w:t>
            </w:r>
            <w:r w:rsidRPr="008F79A4">
              <w:rPr>
                <w:rStyle w:val="Emphasis"/>
                <w:rFonts w:asciiTheme="minorHAnsi" w:hAnsiTheme="minorHAnsi" w:cstheme="minorHAnsi"/>
              </w:rPr>
              <w:t>.</w:t>
            </w:r>
          </w:p>
          <w:p w14:paraId="70906DA7" w14:textId="77777777" w:rsidR="008F79A4" w:rsidRPr="008F79A4" w:rsidRDefault="008F79A4" w:rsidP="008F79A4">
            <w:pPr>
              <w:rPr>
                <w:rFonts w:cstheme="minorHAnsi"/>
                <w:sz w:val="24"/>
                <w:szCs w:val="24"/>
              </w:rPr>
            </w:pPr>
          </w:p>
          <w:p w14:paraId="4D6400B8" w14:textId="77777777" w:rsidR="003C002E" w:rsidRPr="008F79A4" w:rsidRDefault="003C002E" w:rsidP="00157A32">
            <w:pPr>
              <w:rPr>
                <w:rFonts w:cstheme="minorHAnsi"/>
                <w:sz w:val="24"/>
                <w:szCs w:val="24"/>
              </w:rPr>
            </w:pPr>
          </w:p>
          <w:p w14:paraId="3C374D04" w14:textId="79161E5E" w:rsidR="003C002E" w:rsidRPr="008F79A4" w:rsidRDefault="003C002E" w:rsidP="003C002E">
            <w:pPr>
              <w:rPr>
                <w:rFonts w:cstheme="minorHAnsi"/>
              </w:rPr>
            </w:pPr>
          </w:p>
        </w:tc>
      </w:tr>
      <w:tr w:rsidR="00157A32" w14:paraId="28801803" w14:textId="77777777" w:rsidTr="00157A32">
        <w:tc>
          <w:tcPr>
            <w:tcW w:w="9350" w:type="dxa"/>
          </w:tcPr>
          <w:p w14:paraId="027A0E1C" w14:textId="77777777" w:rsidR="00157A32" w:rsidRPr="00092F0C" w:rsidRDefault="00157A32" w:rsidP="00157A32">
            <w:pPr>
              <w:rPr>
                <w:sz w:val="28"/>
                <w:szCs w:val="28"/>
              </w:rPr>
            </w:pPr>
            <w:r w:rsidRPr="00092F0C">
              <w:rPr>
                <w:b/>
                <w:bCs/>
                <w:sz w:val="28"/>
                <w:szCs w:val="28"/>
              </w:rPr>
              <w:lastRenderedPageBreak/>
              <w:t>What You Can Do</w:t>
            </w:r>
            <w:r w:rsidRPr="00092F0C">
              <w:rPr>
                <w:sz w:val="28"/>
                <w:szCs w:val="28"/>
              </w:rPr>
              <w:t xml:space="preserve">: </w:t>
            </w:r>
          </w:p>
          <w:p w14:paraId="3949668A" w14:textId="2AE4DE25" w:rsidR="00157A32" w:rsidRPr="00092F0C" w:rsidRDefault="004633FF" w:rsidP="00157A32">
            <w:pPr>
              <w:pStyle w:val="ListParagraph"/>
              <w:numPr>
                <w:ilvl w:val="0"/>
                <w:numId w:val="1"/>
              </w:numPr>
              <w:rPr>
                <w:sz w:val="28"/>
                <w:szCs w:val="28"/>
              </w:rPr>
            </w:pPr>
            <w:r>
              <w:rPr>
                <w:sz w:val="28"/>
                <w:szCs w:val="28"/>
              </w:rPr>
              <w:t>Contact your state representative, state senator and the Governor’s office to let them know you expect them to address the unconstitutional funding system equitably and as soon as possible.</w:t>
            </w:r>
          </w:p>
          <w:p w14:paraId="40238781" w14:textId="092F40BB" w:rsidR="00157A32" w:rsidRPr="00092F0C" w:rsidRDefault="004633FF" w:rsidP="00157A32">
            <w:pPr>
              <w:pStyle w:val="ListParagraph"/>
              <w:numPr>
                <w:ilvl w:val="0"/>
                <w:numId w:val="1"/>
              </w:numPr>
              <w:rPr>
                <w:sz w:val="28"/>
                <w:szCs w:val="28"/>
              </w:rPr>
            </w:pPr>
            <w:r>
              <w:rPr>
                <w:sz w:val="28"/>
                <w:szCs w:val="28"/>
              </w:rPr>
              <w:t>Contact your Pennsylvania family, friends and neighbors and ask them to the same</w:t>
            </w:r>
            <w:r w:rsidR="00A65E30" w:rsidRPr="00092F0C">
              <w:rPr>
                <w:sz w:val="28"/>
                <w:szCs w:val="28"/>
              </w:rPr>
              <w:t>!</w:t>
            </w:r>
          </w:p>
          <w:p w14:paraId="7BC7511F" w14:textId="44479AF9" w:rsidR="00157A32" w:rsidRPr="00092F0C" w:rsidRDefault="00157A32" w:rsidP="00A65E30">
            <w:pPr>
              <w:pStyle w:val="ListParagraph"/>
              <w:rPr>
                <w:sz w:val="28"/>
                <w:szCs w:val="28"/>
              </w:rPr>
            </w:pPr>
          </w:p>
        </w:tc>
      </w:tr>
      <w:tr w:rsidR="00157A32" w14:paraId="2A2B6317" w14:textId="77777777" w:rsidTr="00157A32">
        <w:tc>
          <w:tcPr>
            <w:tcW w:w="9350" w:type="dxa"/>
          </w:tcPr>
          <w:p w14:paraId="769AE07B" w14:textId="77777777" w:rsidR="00157A32" w:rsidRPr="00092F0C" w:rsidRDefault="00157A32" w:rsidP="00157A32">
            <w:pPr>
              <w:rPr>
                <w:sz w:val="28"/>
                <w:szCs w:val="28"/>
              </w:rPr>
            </w:pPr>
            <w:r w:rsidRPr="00092F0C">
              <w:rPr>
                <w:b/>
                <w:bCs/>
                <w:sz w:val="28"/>
                <w:szCs w:val="28"/>
              </w:rPr>
              <w:t>For More Information on This Issue</w:t>
            </w:r>
            <w:r w:rsidRPr="00092F0C">
              <w:rPr>
                <w:sz w:val="28"/>
                <w:szCs w:val="28"/>
              </w:rPr>
              <w:t>:</w:t>
            </w:r>
          </w:p>
          <w:p w14:paraId="5A9A9B21" w14:textId="58CA86A9" w:rsidR="004633FF" w:rsidRPr="004633FF" w:rsidRDefault="004633FF" w:rsidP="004633FF">
            <w:pPr>
              <w:pStyle w:val="NormalWeb"/>
              <w:rPr>
                <w:rFonts w:asciiTheme="minorHAnsi" w:hAnsiTheme="minorHAnsi" w:cstheme="minorHAnsi"/>
                <w:sz w:val="28"/>
                <w:szCs w:val="28"/>
              </w:rPr>
            </w:pPr>
            <w:r w:rsidRPr="004633FF">
              <w:rPr>
                <w:rFonts w:asciiTheme="minorHAnsi" w:hAnsiTheme="minorHAnsi" w:cstheme="minorHAnsi"/>
                <w:sz w:val="28"/>
                <w:szCs w:val="28"/>
              </w:rPr>
              <w:t xml:space="preserve">Read the </w:t>
            </w:r>
            <w:r w:rsidRPr="004633FF">
              <w:rPr>
                <w:rFonts w:asciiTheme="minorHAnsi" w:hAnsiTheme="minorHAnsi" w:cstheme="minorHAnsi"/>
                <w:sz w:val="28"/>
                <w:szCs w:val="28"/>
              </w:rPr>
              <w:t xml:space="preserve">text of the </w:t>
            </w:r>
            <w:r w:rsidRPr="004633FF">
              <w:rPr>
                <w:rFonts w:asciiTheme="minorHAnsi" w:hAnsiTheme="minorHAnsi" w:cstheme="minorHAnsi"/>
                <w:sz w:val="28"/>
                <w:szCs w:val="28"/>
              </w:rPr>
              <w:t xml:space="preserve">full decision </w:t>
            </w:r>
            <w:hyperlink r:id="rId5" w:tgtFrame="_blank" w:history="1">
              <w:r w:rsidRPr="004633FF">
                <w:rPr>
                  <w:rStyle w:val="Hyperlink"/>
                  <w:rFonts w:asciiTheme="minorHAnsi" w:hAnsiTheme="minorHAnsi" w:cstheme="minorHAnsi"/>
                  <w:sz w:val="28"/>
                  <w:szCs w:val="28"/>
                </w:rPr>
                <w:t>HERE</w:t>
              </w:r>
            </w:hyperlink>
            <w:r w:rsidRPr="004633FF">
              <w:rPr>
                <w:rFonts w:asciiTheme="minorHAnsi" w:hAnsiTheme="minorHAnsi" w:cstheme="minorHAnsi"/>
                <w:sz w:val="28"/>
                <w:szCs w:val="28"/>
              </w:rPr>
              <w:t xml:space="preserve"> </w:t>
            </w:r>
          </w:p>
          <w:p w14:paraId="5525E768" w14:textId="6C9CF9F4" w:rsidR="009F2AC3" w:rsidRPr="00F242E4" w:rsidRDefault="009F2AC3" w:rsidP="004633FF">
            <w:pPr>
              <w:pStyle w:val="ListParagraph"/>
              <w:rPr>
                <w:sz w:val="28"/>
                <w:szCs w:val="28"/>
              </w:rPr>
            </w:pPr>
          </w:p>
        </w:tc>
      </w:tr>
    </w:tbl>
    <w:p w14:paraId="31FD926D" w14:textId="75C7D2AB" w:rsidR="0043683A" w:rsidRPr="00157A32" w:rsidRDefault="0043683A" w:rsidP="00157A32"/>
    <w:sectPr w:rsidR="0043683A" w:rsidRPr="00157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7575"/>
    <w:multiLevelType w:val="hybridMultilevel"/>
    <w:tmpl w:val="D6FAE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237F2"/>
    <w:multiLevelType w:val="hybridMultilevel"/>
    <w:tmpl w:val="00B0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976B0"/>
    <w:multiLevelType w:val="hybridMultilevel"/>
    <w:tmpl w:val="FE8E1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56692E"/>
    <w:multiLevelType w:val="hybridMultilevel"/>
    <w:tmpl w:val="A06A6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32"/>
    <w:rsid w:val="00092F0C"/>
    <w:rsid w:val="00157A32"/>
    <w:rsid w:val="00343CD9"/>
    <w:rsid w:val="003C002E"/>
    <w:rsid w:val="004057AF"/>
    <w:rsid w:val="0043683A"/>
    <w:rsid w:val="004633FF"/>
    <w:rsid w:val="00531E9C"/>
    <w:rsid w:val="00712635"/>
    <w:rsid w:val="008F79A4"/>
    <w:rsid w:val="00967745"/>
    <w:rsid w:val="009F2AC3"/>
    <w:rsid w:val="00A65E30"/>
    <w:rsid w:val="00D24D53"/>
    <w:rsid w:val="00F2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1446"/>
  <w15:chartTrackingRefBased/>
  <w15:docId w15:val="{50FB13FC-9253-4AC2-A557-475DD4C3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A32"/>
    <w:pPr>
      <w:ind w:left="720"/>
      <w:contextualSpacing/>
    </w:pPr>
  </w:style>
  <w:style w:type="character" w:styleId="Hyperlink">
    <w:name w:val="Hyperlink"/>
    <w:basedOn w:val="DefaultParagraphFont"/>
    <w:uiPriority w:val="99"/>
    <w:unhideWhenUsed/>
    <w:rsid w:val="00D24D53"/>
    <w:rPr>
      <w:color w:val="0563C1" w:themeColor="hyperlink"/>
      <w:u w:val="single"/>
    </w:rPr>
  </w:style>
  <w:style w:type="character" w:styleId="UnresolvedMention">
    <w:name w:val="Unresolved Mention"/>
    <w:basedOn w:val="DefaultParagraphFont"/>
    <w:uiPriority w:val="99"/>
    <w:semiHidden/>
    <w:unhideWhenUsed/>
    <w:rsid w:val="00D24D53"/>
    <w:rPr>
      <w:color w:val="605E5C"/>
      <w:shd w:val="clear" w:color="auto" w:fill="E1DFDD"/>
    </w:rPr>
  </w:style>
  <w:style w:type="paragraph" w:styleId="Revision">
    <w:name w:val="Revision"/>
    <w:hidden/>
    <w:uiPriority w:val="99"/>
    <w:semiHidden/>
    <w:rsid w:val="00343CD9"/>
    <w:pPr>
      <w:spacing w:after="0" w:line="240" w:lineRule="auto"/>
    </w:pPr>
  </w:style>
  <w:style w:type="paragraph" w:styleId="NormalWeb">
    <w:name w:val="Normal (Web)"/>
    <w:basedOn w:val="Normal"/>
    <w:uiPriority w:val="99"/>
    <w:semiHidden/>
    <w:unhideWhenUsed/>
    <w:rsid w:val="008F79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79A4"/>
    <w:rPr>
      <w:b/>
      <w:bCs/>
    </w:rPr>
  </w:style>
  <w:style w:type="character" w:styleId="Emphasis">
    <w:name w:val="Emphasis"/>
    <w:basedOn w:val="DefaultParagraphFont"/>
    <w:uiPriority w:val="20"/>
    <w:qFormat/>
    <w:rsid w:val="008F79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15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cp:lastPrinted>2022-08-24T17:56:00Z</cp:lastPrinted>
  <dcterms:created xsi:type="dcterms:W3CDTF">2023-02-09T19:39:00Z</dcterms:created>
  <dcterms:modified xsi:type="dcterms:W3CDTF">2023-02-09T19:39:00Z</dcterms:modified>
</cp:coreProperties>
</file>